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B" w:rsidRPr="00CE76EB" w:rsidRDefault="00CE76EB" w:rsidP="00CE76EB">
      <w:pPr>
        <w:spacing w:before="240" w:line="360" w:lineRule="auto"/>
        <w:jc w:val="center"/>
        <w:rPr>
          <w:rFonts w:ascii="Lucida Calligraphy" w:hAnsi="Lucida Calligraphy" w:cs="Arial"/>
          <w:b/>
          <w:bCs/>
          <w:sz w:val="72"/>
          <w:szCs w:val="72"/>
        </w:rPr>
      </w:pPr>
      <w:r>
        <w:rPr>
          <w:rFonts w:ascii="Lucida Calligraphy" w:hAnsi="Lucida Calligraphy" w:cs="Arial"/>
          <w:b/>
          <w:bCs/>
          <w:sz w:val="72"/>
          <w:szCs w:val="72"/>
        </w:rPr>
        <w:t xml:space="preserve">OBJETIVOS DE </w:t>
      </w:r>
      <w:r w:rsidRPr="00CE76EB">
        <w:rPr>
          <w:rFonts w:ascii="Lucida Calligraphy" w:hAnsi="Lucida Calligraphy" w:cs="Arial"/>
          <w:b/>
          <w:bCs/>
          <w:sz w:val="72"/>
          <w:szCs w:val="72"/>
        </w:rPr>
        <w:t>TRABAJO</w:t>
      </w:r>
      <w:r>
        <w:rPr>
          <w:rFonts w:ascii="Lucida Calligraphy" w:hAnsi="Lucida Calligraphy" w:cs="Arial"/>
          <w:b/>
          <w:bCs/>
          <w:sz w:val="72"/>
          <w:szCs w:val="72"/>
        </w:rPr>
        <w:t xml:space="preserve"> </w:t>
      </w:r>
      <w:r w:rsidRPr="00CE76EB">
        <w:rPr>
          <w:rFonts w:ascii="Lucida Calligraphy" w:hAnsi="Lucida Calligraphy" w:cs="Arial"/>
          <w:b/>
          <w:bCs/>
          <w:sz w:val="72"/>
          <w:szCs w:val="72"/>
        </w:rPr>
        <w:t>DEL PODER</w:t>
      </w:r>
      <w:r>
        <w:rPr>
          <w:rFonts w:ascii="Lucida Calligraphy" w:hAnsi="Lucida Calligraphy" w:cs="Arial"/>
          <w:b/>
          <w:bCs/>
          <w:sz w:val="72"/>
          <w:szCs w:val="72"/>
        </w:rPr>
        <w:t xml:space="preserve"> </w:t>
      </w:r>
      <w:r w:rsidRPr="00CE76EB">
        <w:rPr>
          <w:rFonts w:ascii="Lucida Calligraphy" w:hAnsi="Lucida Calligraphy" w:cs="Arial"/>
          <w:b/>
          <w:bCs/>
          <w:sz w:val="72"/>
          <w:szCs w:val="72"/>
        </w:rPr>
        <w:t>POPULAR MUNICIPAL</w:t>
      </w:r>
    </w:p>
    <w:p w:rsidR="00CE76EB" w:rsidRDefault="00CE76EB" w:rsidP="00CE76EB">
      <w:pPr>
        <w:spacing w:before="240" w:line="360" w:lineRule="auto"/>
        <w:jc w:val="center"/>
        <w:rPr>
          <w:rFonts w:ascii="Lucida Calligraphy" w:hAnsi="Lucida Calligraphy" w:cs="Arial"/>
          <w:b/>
          <w:bCs/>
          <w:sz w:val="72"/>
          <w:szCs w:val="72"/>
        </w:rPr>
      </w:pPr>
      <w:r w:rsidRPr="00CE76EB">
        <w:rPr>
          <w:rFonts w:ascii="Lucida Calligraphy" w:hAnsi="Lucida Calligraphy" w:cs="Arial"/>
          <w:b/>
          <w:bCs/>
          <w:sz w:val="72"/>
          <w:szCs w:val="72"/>
        </w:rPr>
        <w:t>DE CIFUENTES</w:t>
      </w:r>
    </w:p>
    <w:p w:rsidR="00CE76EB" w:rsidRPr="00CE76EB" w:rsidRDefault="00CE76EB" w:rsidP="00CE76EB">
      <w:pPr>
        <w:spacing w:before="240" w:line="360" w:lineRule="auto"/>
        <w:jc w:val="center"/>
        <w:rPr>
          <w:rFonts w:ascii="Lucida Calligraphy" w:hAnsi="Lucida Calligraphy" w:cs="Arial"/>
          <w:b/>
          <w:bCs/>
          <w:sz w:val="72"/>
          <w:szCs w:val="72"/>
        </w:rPr>
      </w:pPr>
    </w:p>
    <w:p w:rsidR="00CE76EB" w:rsidRDefault="00CE76EB" w:rsidP="00CE76EB">
      <w:pPr>
        <w:jc w:val="center"/>
        <w:rPr>
          <w:rFonts w:ascii="Lucida Calligraphy" w:hAnsi="Lucida Calligraphy" w:cs="Arial"/>
          <w:b/>
          <w:bCs/>
          <w:sz w:val="96"/>
          <w:szCs w:val="96"/>
        </w:rPr>
      </w:pPr>
      <w:r w:rsidRPr="00CE76EB">
        <w:rPr>
          <w:rFonts w:ascii="Lucida Calligraphy" w:hAnsi="Lucida Calligraphy" w:cs="Arial"/>
          <w:b/>
          <w:bCs/>
          <w:sz w:val="96"/>
          <w:szCs w:val="96"/>
        </w:rPr>
        <w:t>AÑO 2019</w:t>
      </w:r>
    </w:p>
    <w:p w:rsidR="00CE76EB" w:rsidRDefault="00CE76EB">
      <w:pPr>
        <w:spacing w:after="200" w:line="276" w:lineRule="auto"/>
        <w:rPr>
          <w:rFonts w:ascii="Lucida Calligraphy" w:hAnsi="Lucida Calligraphy" w:cs="Arial"/>
          <w:b/>
          <w:bCs/>
          <w:sz w:val="96"/>
          <w:szCs w:val="96"/>
        </w:rPr>
      </w:pPr>
      <w:r>
        <w:rPr>
          <w:rFonts w:ascii="Lucida Calligraphy" w:hAnsi="Lucida Calligraphy" w:cs="Arial"/>
          <w:b/>
          <w:bCs/>
          <w:sz w:val="96"/>
          <w:szCs w:val="96"/>
        </w:rPr>
        <w:br w:type="page"/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lastRenderedPageBreak/>
        <w:t>OBJETIVO # 1</w:t>
      </w:r>
      <w:r w:rsidRPr="00CE76EB">
        <w:rPr>
          <w:rFonts w:ascii="Arial" w:hAnsi="Arial" w:cs="Arial"/>
          <w:b/>
          <w:bCs/>
          <w:i/>
          <w:iCs/>
          <w:lang w:val="es-MX" w:eastAsia="es-MX"/>
        </w:rPr>
        <w:t xml:space="preserve">: </w:t>
      </w:r>
      <w:r w:rsidRPr="00CE76EB">
        <w:rPr>
          <w:rFonts w:ascii="Arial" w:hAnsi="Arial" w:cs="Arial"/>
          <w:b/>
          <w:bCs/>
          <w:lang w:val="es-MX" w:eastAsia="es-MX"/>
        </w:rPr>
        <w:t xml:space="preserve">Controlar el perfeccionamiento de los órganos que integran el sistema del Poder Popular en el Municipio. (L 4, 5, 6, 8, 12, 21,35, 36, 37, 120, 150, 152, 168,178,264). </w:t>
      </w:r>
      <w:proofErr w:type="spellStart"/>
      <w:r w:rsidRPr="00CE76EB">
        <w:rPr>
          <w:rFonts w:ascii="Arial" w:hAnsi="Arial" w:cs="Arial"/>
          <w:b/>
          <w:bCs/>
          <w:lang w:val="es-MX" w:eastAsia="es-MX"/>
        </w:rPr>
        <w:t>Obj</w:t>
      </w:r>
      <w:proofErr w:type="spellEnd"/>
      <w:r w:rsidRPr="00CE76EB">
        <w:rPr>
          <w:rFonts w:ascii="Arial" w:hAnsi="Arial" w:cs="Arial"/>
          <w:b/>
          <w:bCs/>
          <w:lang w:val="es-MX" w:eastAsia="es-MX"/>
        </w:rPr>
        <w:t>.  Conf. PCC No 46.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Indicadores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1.1 Exigir la implementación de acciones encaminadas al cumplimiento del 100% de los Lineamientos de la Política Económica y Social del Partido y La Revolución, en correspondencia con el nivel de gestión del órgano de gobierno local del Municipio.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1.1: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Se implementa del 100%  de los Lineamientos de la Política Económica y Social del Partido y La Revolución sobre la  gestión del órgano de gobierno local del Municipio.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Se implementa más del 90%  de los Lineamientos sobre la  gestión del órgano de gobierno local del Municipio.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Se implementa menos del 60 %  de los Lineamientos sobre la  gestión del órgano de gobierno local del Municipio.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1.2 Exigir el 100 % de las respuesta de los planteamientos de los electores y que la solución de estos esté por encima del 70% L- 142.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1.2: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Se cuenta con más del 70% de las respuesta de los planteamientos de los electores y el 40 % de solución.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Se cuenta con el 50 % de las respuesta de los planteamientos de los electores y el 30 % de solución.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Se cuenta menos del 40 % de las respuestas de los planteamientos de los electores y menos del  10 % de solución.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1.3 Chequear la planificación del año según la Instrucción No. 1 contando para ello con los Objetivos de Trabajo y el Plan de Actividades Anual, Mensual así como el Plan de Trabajo Individual de cada cuadro, funcionario y especialista. L- 1, 5, 35.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1.3: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elaboran y aprueban en los plazos establecidos el 100 % de los planes de actividades.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lastRenderedPageBreak/>
        <w:t xml:space="preserve">R: </w:t>
      </w:r>
      <w:r w:rsidRPr="00CE76EB">
        <w:rPr>
          <w:rFonts w:ascii="Arial" w:hAnsi="Arial" w:cs="Arial"/>
          <w:lang w:val="es-MX" w:eastAsia="es-MX"/>
        </w:rPr>
        <w:t>Se elaboran y aprueban en los plazos establecidos más del 90 % de los planes de actividades.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elaboran y aprueban en los plazos establecidos menos del 90 % de los planes de actividades.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1.4</w:t>
      </w:r>
      <w:r w:rsidRPr="00CE76EB">
        <w:rPr>
          <w:rFonts w:ascii="Arial" w:hAnsi="Arial" w:cs="Arial"/>
          <w:lang w:val="es-MX" w:eastAsia="es-MX"/>
        </w:rPr>
        <w:t xml:space="preserve"> Controlar el Perfeccionamiento de  la gestión documental en el Archivo de la AMPP, a partir de la implementación de normas y técnicas gerenciales al tratamiento documental. Durante el año las entidades de </w:t>
      </w:r>
      <w:r w:rsidRPr="00CE76EB">
        <w:rPr>
          <w:rFonts w:ascii="Arial" w:hAnsi="Arial" w:cs="Arial"/>
          <w:b/>
          <w:bCs/>
          <w:lang w:val="es-MX" w:eastAsia="es-MX"/>
        </w:rPr>
        <w:t>SALUD, Educación, Cultura, Deportes, Entidad Municipal de la Vivienda y Transporte</w:t>
      </w:r>
    </w:p>
    <w:p w:rsidR="00CE76EB" w:rsidRPr="00CE76EB" w:rsidRDefault="00CE76EB" w:rsidP="00CE76E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Consolidar  la Introducción de   la norma 30301 sobre Sistema de Gestión para Documentos.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Si se controla  entre el  80-100% de las Entidades planificadas.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>
        <w:rPr>
          <w:rFonts w:ascii="Arial" w:hAnsi="Arial" w:cs="Arial"/>
          <w:lang w:val="es-MX" w:eastAsia="es-MX"/>
        </w:rPr>
        <w:t> </w:t>
      </w:r>
      <w:r w:rsidRPr="00CE76EB">
        <w:rPr>
          <w:rFonts w:ascii="Arial" w:hAnsi="Arial" w:cs="Arial"/>
          <w:lang w:val="es-MX" w:eastAsia="es-MX"/>
        </w:rPr>
        <w:t>Si se controla  entre el  70-79%  de las Entidades planificadas.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Si controla menos del  70 % de las Entidades planificadas.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 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OBJETIVO # 2: Fiscalizar el cumplimiento del plan de la economía del sistema empresarial y presupuestado del territorio. (L - 1, 2, 17, 53)</w:t>
      </w:r>
      <w:r>
        <w:rPr>
          <w:rFonts w:ascii="Arial" w:hAnsi="Arial" w:cs="Arial"/>
          <w:b/>
          <w:bCs/>
          <w:lang w:val="es-MX" w:eastAsia="es-MX"/>
        </w:rPr>
        <w:t xml:space="preserve"> </w:t>
      </w:r>
      <w:r w:rsidRPr="00CE76EB">
        <w:rPr>
          <w:rFonts w:ascii="Arial" w:hAnsi="Arial" w:cs="Arial"/>
          <w:b/>
          <w:bCs/>
          <w:lang w:val="es-MX" w:eastAsia="es-MX"/>
        </w:rPr>
        <w:t>170,</w:t>
      </w:r>
      <w:r>
        <w:rPr>
          <w:rFonts w:ascii="Arial" w:hAnsi="Arial" w:cs="Arial"/>
          <w:b/>
          <w:bCs/>
          <w:lang w:val="es-MX" w:eastAsia="es-MX"/>
        </w:rPr>
        <w:t xml:space="preserve"> </w:t>
      </w:r>
      <w:r w:rsidRPr="00CE76EB">
        <w:rPr>
          <w:rFonts w:ascii="Arial" w:hAnsi="Arial" w:cs="Arial"/>
          <w:b/>
          <w:bCs/>
          <w:lang w:val="es-MX" w:eastAsia="es-MX"/>
        </w:rPr>
        <w:t>171,</w:t>
      </w:r>
      <w:r>
        <w:rPr>
          <w:rFonts w:ascii="Arial" w:hAnsi="Arial" w:cs="Arial"/>
          <w:b/>
          <w:bCs/>
          <w:lang w:val="es-MX" w:eastAsia="es-MX"/>
        </w:rPr>
        <w:t xml:space="preserve"> </w:t>
      </w:r>
      <w:r w:rsidRPr="00CE76EB">
        <w:rPr>
          <w:rFonts w:ascii="Arial" w:hAnsi="Arial" w:cs="Arial"/>
          <w:b/>
          <w:bCs/>
          <w:lang w:val="es-MX" w:eastAsia="es-MX"/>
        </w:rPr>
        <w:t>184,</w:t>
      </w:r>
      <w:r>
        <w:rPr>
          <w:rFonts w:ascii="Arial" w:hAnsi="Arial" w:cs="Arial"/>
          <w:b/>
          <w:bCs/>
          <w:lang w:val="es-MX" w:eastAsia="es-MX"/>
        </w:rPr>
        <w:t xml:space="preserve"> </w:t>
      </w:r>
      <w:r w:rsidRPr="00CE76EB">
        <w:rPr>
          <w:rFonts w:ascii="Arial" w:hAnsi="Arial" w:cs="Arial"/>
          <w:b/>
          <w:bCs/>
          <w:lang w:val="es-MX" w:eastAsia="es-MX"/>
        </w:rPr>
        <w:t>235,</w:t>
      </w:r>
      <w:r>
        <w:rPr>
          <w:rFonts w:ascii="Arial" w:hAnsi="Arial" w:cs="Arial"/>
          <w:b/>
          <w:bCs/>
          <w:lang w:val="es-MX" w:eastAsia="es-MX"/>
        </w:rPr>
        <w:t xml:space="preserve"> </w:t>
      </w:r>
      <w:r w:rsidRPr="00CE76EB">
        <w:rPr>
          <w:rFonts w:ascii="Arial" w:hAnsi="Arial" w:cs="Arial"/>
          <w:b/>
          <w:bCs/>
          <w:lang w:val="es-MX" w:eastAsia="es-MX"/>
        </w:rPr>
        <w:t>270,</w:t>
      </w:r>
      <w:r>
        <w:rPr>
          <w:rFonts w:ascii="Arial" w:hAnsi="Arial" w:cs="Arial"/>
          <w:b/>
          <w:bCs/>
          <w:lang w:val="es-MX" w:eastAsia="es-MX"/>
        </w:rPr>
        <w:t xml:space="preserve"> </w:t>
      </w:r>
      <w:r w:rsidRPr="00CE76EB">
        <w:rPr>
          <w:rFonts w:ascii="Arial" w:hAnsi="Arial" w:cs="Arial"/>
          <w:b/>
          <w:bCs/>
          <w:lang w:val="es-MX" w:eastAsia="es-MX"/>
        </w:rPr>
        <w:t xml:space="preserve">312) Objetivos de la conferencia del PCC. 40, 45,47 y 53.  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Indicadores</w:t>
      </w:r>
    </w:p>
    <w:p w:rsidR="00CE76EB" w:rsidRPr="00CE76EB" w:rsidRDefault="00CE76EB" w:rsidP="00CE76E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Fiscalizar el 100% de los planteamientos de la población inscripto en el plan de la economía. L- 442.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2.1: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cumple el 100 % de los planteamientos de la población inscripto en el plan de la economía.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Se cumple el 70 % los planteamientos de la población inscripto en el plan de la economía.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Se cumple el 70 % o menos los planteamientos de la población inscripto en el plan de la economía.</w:t>
      </w:r>
    </w:p>
    <w:p w:rsidR="00CE76EB" w:rsidRPr="00CE76EB" w:rsidRDefault="00CE76EB" w:rsidP="00CE76E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Controlar el empleo de los portadores energéticos (electricidad, combustible) con el propósito de que su consumo se ajuste a los niveles planificados. (L- 253).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lastRenderedPageBreak/>
        <w:t>Grados de Consecución del Indicador 2.2: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Se cumple c</w:t>
      </w:r>
      <w:r>
        <w:rPr>
          <w:rFonts w:ascii="Arial" w:hAnsi="Arial" w:cs="Arial"/>
          <w:lang w:val="es-MX" w:eastAsia="es-MX"/>
        </w:rPr>
        <w:t>omo máximo el nivel planificado</w:t>
      </w:r>
      <w:r w:rsidRPr="00CE76EB">
        <w:rPr>
          <w:rFonts w:ascii="Arial" w:hAnsi="Arial" w:cs="Arial"/>
          <w:lang w:val="es-MX" w:eastAsia="es-MX"/>
        </w:rPr>
        <w:t xml:space="preserve"> para cada tipo de portadores.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Se sobregira en un 1 % de los portadores energéticos.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Se sobregiran los portadores energéticos.</w:t>
      </w:r>
    </w:p>
    <w:p w:rsidR="00CE76EB" w:rsidRPr="00CE76EB" w:rsidRDefault="00CE76EB" w:rsidP="00CE76E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Exigir que se logre una correlación entre el crecimiento del salario medio y productividad por peso de valor agregado bruto (L- 170 y 171).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2.3: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cumple la correlación entre el crecimiento del salario medio y productividad según lo planificado.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No se cumple con todo lo planificado.</w:t>
      </w:r>
    </w:p>
    <w:p w:rsidR="00CE76EB" w:rsidRPr="00CE76EB" w:rsidRDefault="00CE76EB" w:rsidP="00CE76E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Controlar la gestión del Sistema de Prevención, asistencia y trabajo social en el territorio (</w:t>
      </w:r>
      <w:proofErr w:type="spellStart"/>
      <w:r w:rsidRPr="00CE76EB">
        <w:rPr>
          <w:rFonts w:ascii="Arial" w:hAnsi="Arial" w:cs="Arial"/>
          <w:b/>
          <w:bCs/>
          <w:lang w:val="es-MX" w:eastAsia="es-MX"/>
        </w:rPr>
        <w:t>Lin</w:t>
      </w:r>
      <w:proofErr w:type="spellEnd"/>
      <w:r w:rsidRPr="00CE76EB">
        <w:rPr>
          <w:rFonts w:ascii="Arial" w:hAnsi="Arial" w:cs="Arial"/>
          <w:b/>
          <w:bCs/>
          <w:lang w:val="es-MX" w:eastAsia="es-MX"/>
        </w:rPr>
        <w:t xml:space="preserve"> 11 y 12).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2.4: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cumple a más del 80% la fiscalización de la implementación del Sistema de Prevención, asistencia y trabajo social.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Se cumple del 50 al 70 % la fiscalización de la implementación del Sistema de Prevención, asistencia y trabajo social.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Se cumple menos del 50 % la fiscalización de la implementación del Sistema de Prevención, asistencia y trabajo social.</w:t>
      </w:r>
    </w:p>
    <w:p w:rsidR="00CE76EB" w:rsidRPr="00CE76EB" w:rsidRDefault="00CE76EB" w:rsidP="00CE76E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Supervisar el proceso del trabajo por cuenta propia y las nuevas formas de gestión, no estatal así como el proceso de disponibilidad aprobado por los OACE y el CAP.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2.4: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supervisa al 100% el trabajo por cuenta propia y las nuevas formas de gestión mensualmente, así como el proceso de disponibilidad.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Se controla por cuenta propia y las nuevas formas de gestión mensualmente, no siendo  así el proceso de disponibilidad.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No se controla el trabajo por cuenta propia, las nuevas formas de gestión mensualmente y como el proceso de disponibilidad.</w:t>
      </w:r>
    </w:p>
    <w:p w:rsidR="00CE76EB" w:rsidRPr="00CE76EB" w:rsidRDefault="00CE76EB" w:rsidP="00CE76E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lastRenderedPageBreak/>
        <w:t>Controlar el cumplimiento de la circulación mercantil del comercio y la Gastronomía de 84 263.4 MP.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2.7: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cumple la Circulación Mercantil del Comercio y la Gastronomía.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Se incumple la Circulación Mercantil del Comercio y la Gastronomía según lo planificado.</w:t>
      </w:r>
    </w:p>
    <w:p w:rsidR="00CE76EB" w:rsidRPr="00CE76EB" w:rsidRDefault="00CE76EB" w:rsidP="00CE76E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Controlar el cumplimiento del presupuesto del estado en los límites aprobados, previendo el ahorro de recursos. L- 30, 31, 34.</w:t>
      </w:r>
    </w:p>
    <w:p w:rsidR="00CE76EB" w:rsidRPr="00CE76EB" w:rsidRDefault="00CE76EB" w:rsidP="00CE76E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Ingresos Cedidos- 26 630.9 MP</w:t>
      </w:r>
    </w:p>
    <w:p w:rsidR="00CE76EB" w:rsidRPr="00CE76EB" w:rsidRDefault="00CE76EB" w:rsidP="00CE76E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Gastos Totales Unidades presupuestadas. 33 838.0 MP</w:t>
      </w:r>
    </w:p>
    <w:p w:rsidR="00CE76EB" w:rsidRPr="00CE76EB" w:rsidRDefault="00CE76EB" w:rsidP="00CE76E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Tratamiento Especial (Subvención). 2 527.8 MP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2.8: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cumple los límites aprobados.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Se cumple con los gastos totales y se incumple al 95% los ingresos.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Se incumple con los ingresos y se sobregiran los gastos.</w:t>
      </w:r>
    </w:p>
    <w:p w:rsidR="00CE76EB" w:rsidRPr="00CE76EB" w:rsidRDefault="00CE76EB" w:rsidP="00CE76E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Controlar que las entidades del territorio cumplan con las obligaciones al presupuesto del estado al 100%. L- 30.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2.9: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Si se cumple la 100 % las obligaciones al presupuesto del estado.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Se cumple hasta el 90 % las obligaciones al presupuesto del estado.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Se cumple a menos del 80 % las obligaciones al presupuesto del estado.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2.9 Exigir de las cuentas por cobrar y pagar de las entidades y Unidades Presupuestadas se mantengan en los términos establecidos según contratación. L – 10.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2.10: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cumple con los términos establecidos las cuentas por cobrar y pagar.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Si existen algunas cuentas por cobrar y pagar fuera de termino pero que este convenida sin tener en cuenta las Unidades Presupuestadas.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lastRenderedPageBreak/>
        <w:t>M:</w:t>
      </w:r>
      <w:r w:rsidRPr="00CE76EB">
        <w:rPr>
          <w:rFonts w:ascii="Arial" w:hAnsi="Arial" w:cs="Arial"/>
          <w:lang w:val="es-MX" w:eastAsia="es-MX"/>
        </w:rPr>
        <w:t xml:space="preserve"> Si se incumple con los términos establecidos en las cuentas por cobrar y pagar sin que exista convenio de pago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2.10 Supervisar el sistema de enfrentamiento a las ilegalidades en materia de ordenamiento territorial y Urbano. L-120.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2.11: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Si se cumple el plan de enfrentamiento a las ilegalidades en materia de ordenamiento territorial y Urbano.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Si se cumple al 90 %  el plan de enfrentamiento a las ilegalidades en materia de ordenamiento territorial y Urbano.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Se cumple por debajo del 90%.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 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OBJETIVO # 3: Exigir la producción de alimentos que permitan un crecimiento sostenido. (L. 181, 182, 183, 184, 185, 190, 192, 193, 194, 207, 209, 211, 217, 219, 307, 309, 310, 313.) (L -  116, 117, 118, 119, 120, 126, 134, 141, 149, 163, 223, 232).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Indicadores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3.1 Supervisar el cumplimiento de los planes productivos al 100 % y la presencia de granos, viandas y hortalizas en los MAE y Puntos de venta de la Agricultura en los espacios que tiene el gobierno para evaluar esta actividad: L- 177,178, 181, 182, 184, 185, 187, 188, 189, 190, 193.</w:t>
      </w:r>
    </w:p>
    <w:tbl>
      <w:tblPr>
        <w:tblW w:w="28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484"/>
      </w:tblGrid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Viandas: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7534 TN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Hortalizas: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26020.0 TN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Granos:  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2940.0 TN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Frutales: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5536 TN</w:t>
            </w:r>
          </w:p>
        </w:tc>
      </w:tr>
    </w:tbl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3.1: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cumple con lo planificado.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Se cumple al 90%.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Se cumple menos del 90%.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3.2 Controlar el incremento de las producciones con destino a la sustitución de importaciones asegurando producciones ascendentes a: L- 44.</w:t>
      </w:r>
    </w:p>
    <w:tbl>
      <w:tblPr>
        <w:tblW w:w="29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257"/>
      </w:tblGrid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lastRenderedPageBreak/>
              <w:t>Frijoles: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170.0 TN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Maíz: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490.0  TN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Tomate:  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3000 TN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Fruta bomba: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164 TN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Mango: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700 TN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Pepino: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10 TN</w:t>
            </w:r>
          </w:p>
        </w:tc>
      </w:tr>
    </w:tbl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3.2: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cumple con lo planificado.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Se cumple al 90% lo planificado.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Se cumple menos del 90% lo planificado.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3.3 Exigir un incremento de la producción de la agricultura urbana y suburbana del 7%. L-185.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3.3: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incrementa la producción de la agricultura urbana y suburbana del 7%.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Se incrementa la producción de la agricultura urbana y suburbana del 5%.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No se incrementa la producción de la agricultura urbana y suburbana.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3.4 Supervisar al 100 % las tierras entregadas por el decreto ley 300 evaluando el cumplimiento de los contratos y el aprovechamiento del área. L- 181,189.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3.4: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supervisa al 100 % la entrega de tierras.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Se supervisa al 93 % la entrega de tierras.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Se supervisa menos del 93 % la entrega de tierras.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3.5 Controlar los niveles de producción de leche en 3065.0 Mil/</w:t>
      </w:r>
      <w:proofErr w:type="spellStart"/>
      <w:r w:rsidRPr="00CE76EB">
        <w:rPr>
          <w:rFonts w:ascii="Arial" w:hAnsi="Arial" w:cs="Arial"/>
          <w:b/>
          <w:bCs/>
          <w:lang w:val="es-MX" w:eastAsia="es-MX"/>
        </w:rPr>
        <w:t>Lts</w:t>
      </w:r>
      <w:proofErr w:type="spellEnd"/>
      <w:r w:rsidRPr="00CE76EB">
        <w:rPr>
          <w:rFonts w:ascii="Arial" w:hAnsi="Arial" w:cs="Arial"/>
          <w:b/>
          <w:bCs/>
          <w:lang w:val="es-MX" w:eastAsia="es-MX"/>
        </w:rPr>
        <w:t>, de ellos 1940.0 Mil/</w:t>
      </w:r>
      <w:proofErr w:type="spellStart"/>
      <w:r w:rsidRPr="00CE76EB">
        <w:rPr>
          <w:rFonts w:ascii="Arial" w:hAnsi="Arial" w:cs="Arial"/>
          <w:b/>
          <w:bCs/>
          <w:lang w:val="es-MX" w:eastAsia="es-MX"/>
        </w:rPr>
        <w:t>Lts</w:t>
      </w:r>
      <w:proofErr w:type="spellEnd"/>
      <w:r w:rsidRPr="00CE76EB">
        <w:rPr>
          <w:rFonts w:ascii="Arial" w:hAnsi="Arial" w:cs="Arial"/>
          <w:b/>
          <w:bCs/>
          <w:lang w:val="es-MX" w:eastAsia="es-MX"/>
        </w:rPr>
        <w:t xml:space="preserve"> para la industria y 457.0 Mil/ </w:t>
      </w:r>
      <w:proofErr w:type="spellStart"/>
      <w:r w:rsidRPr="00CE76EB">
        <w:rPr>
          <w:rFonts w:ascii="Arial" w:hAnsi="Arial" w:cs="Arial"/>
          <w:b/>
          <w:bCs/>
          <w:lang w:val="es-MX" w:eastAsia="es-MX"/>
        </w:rPr>
        <w:t>Lts</w:t>
      </w:r>
      <w:proofErr w:type="spellEnd"/>
      <w:r w:rsidRPr="00CE76EB">
        <w:rPr>
          <w:rFonts w:ascii="Arial" w:hAnsi="Arial" w:cs="Arial"/>
          <w:b/>
          <w:bCs/>
          <w:lang w:val="es-MX" w:eastAsia="es-MX"/>
        </w:rPr>
        <w:t xml:space="preserve"> para el Comercio L- 87,184, 185.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3.5: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lastRenderedPageBreak/>
        <w:t xml:space="preserve">B: </w:t>
      </w:r>
      <w:r w:rsidRPr="00CE76EB">
        <w:rPr>
          <w:rFonts w:ascii="Arial" w:hAnsi="Arial" w:cs="Arial"/>
          <w:lang w:val="es-MX" w:eastAsia="es-MX"/>
        </w:rPr>
        <w:t>Se cumple con la producción de leche tanto en la  industria como  para el Comercio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Se cumple al 100 % la entrega de leche al Comercio y al 95% para la Industria.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Se incumple con el plan de leche para el Comercio y la Industria.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3.6 Controlar los niveles de producción de carne que aseguren la producción de: L- 192.</w:t>
      </w:r>
    </w:p>
    <w:tbl>
      <w:tblPr>
        <w:tblW w:w="27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378"/>
      </w:tblGrid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Porcino: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1996 TN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Caprino: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35.7 TN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Ovino:  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68.1 TN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proofErr w:type="spellStart"/>
            <w:r w:rsidRPr="00CE76EB">
              <w:rPr>
                <w:rFonts w:ascii="Arial" w:hAnsi="Arial" w:cs="Arial"/>
                <w:lang w:val="es-MX" w:eastAsia="es-MX"/>
              </w:rPr>
              <w:t>Cunícula</w:t>
            </w:r>
            <w:proofErr w:type="spellEnd"/>
            <w:r w:rsidRPr="00CE76EB">
              <w:rPr>
                <w:rFonts w:ascii="Arial" w:hAnsi="Arial" w:cs="Arial"/>
                <w:lang w:val="es-MX" w:eastAsia="es-MX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2.3  TN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Avícola: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 68.8 T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Vacuno: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983.9 TN</w:t>
            </w:r>
          </w:p>
        </w:tc>
      </w:tr>
    </w:tbl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3.6: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cumple con lo planificado.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Se cumple al 90% los niveles de producción de leche.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Se cumple a menos del 90% con los niveles de producción de carne planificada.</w:t>
      </w:r>
    </w:p>
    <w:p w:rsidR="00CE76EB" w:rsidRPr="00CE76EB" w:rsidRDefault="00CE76EB" w:rsidP="00CE76E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Controlar la conciliación con  la Agricultura, Salud Educación para que se identifique los resultados a introducirán el Programa Municipal de Ciencia Tecnología e innovación.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Se cumple en más del 85% de los resultados identificados como Priorizados y se Logra medir el 90% de los  impactos.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Se cumple hasta del 60% de los resultados identificados como Priorizados y se Logra medir el 70% de los  impactos.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Se cumple menos del 60% de los resultados identificados como Pr</w:t>
      </w:r>
      <w:r>
        <w:rPr>
          <w:rFonts w:ascii="Arial" w:hAnsi="Arial" w:cs="Arial"/>
          <w:lang w:val="es-MX" w:eastAsia="es-MX"/>
        </w:rPr>
        <w:t xml:space="preserve">iorizados y se Logra medir </w:t>
      </w:r>
      <w:r w:rsidRPr="00CE76EB">
        <w:rPr>
          <w:rFonts w:ascii="Arial" w:hAnsi="Arial" w:cs="Arial"/>
          <w:lang w:val="es-MX" w:eastAsia="es-MX"/>
        </w:rPr>
        <w:t>menos del 70% de los  impactos.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 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OBJETIVO DE TRABAJO NO. 3.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lastRenderedPageBreak/>
        <w:t xml:space="preserve">Bien: </w:t>
      </w:r>
      <w:r w:rsidRPr="00CE76EB">
        <w:rPr>
          <w:rFonts w:ascii="Arial" w:hAnsi="Arial" w:cs="Arial"/>
          <w:lang w:val="es-MX" w:eastAsia="es-MX"/>
        </w:rPr>
        <w:t>Si se cumple con los Indicadores 3.1, 3.2, 3.5, 3.6 y se evalúa de regular los restantes.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Regular: </w:t>
      </w:r>
      <w:r w:rsidRPr="00CE76EB">
        <w:rPr>
          <w:rFonts w:ascii="Arial" w:hAnsi="Arial" w:cs="Arial"/>
          <w:lang w:val="es-MX" w:eastAsia="es-MX"/>
        </w:rPr>
        <w:t>Si se cumple con los indicadores 3.1, 3.2, 3.5, 3.6 y se incumplen con los restantes.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Mal: </w:t>
      </w:r>
      <w:r w:rsidRPr="00CE76EB">
        <w:rPr>
          <w:rFonts w:ascii="Arial" w:hAnsi="Arial" w:cs="Arial"/>
          <w:lang w:val="es-MX" w:eastAsia="es-MX"/>
        </w:rPr>
        <w:t>Si se incumple con los indicadores 3.1, 3.2, 3.5, 3.6.</w:t>
      </w:r>
    </w:p>
    <w:p w:rsidR="00CE76EB" w:rsidRPr="00CE76EB" w:rsidRDefault="00CE76EB" w:rsidP="00CE76EB">
      <w:pPr>
        <w:spacing w:before="100" w:beforeAutospacing="1" w:after="100" w:afterAutospacing="1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 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OBJETIVO # 4:</w:t>
      </w:r>
      <w:r w:rsidRPr="00CE76EB">
        <w:rPr>
          <w:rFonts w:ascii="Arial" w:hAnsi="Arial" w:cs="Arial"/>
          <w:lang w:val="es-MX" w:eastAsia="es-MX"/>
        </w:rPr>
        <w:t xml:space="preserve"> </w:t>
      </w:r>
      <w:r w:rsidRPr="00CE76EB">
        <w:rPr>
          <w:rFonts w:ascii="Arial" w:hAnsi="Arial" w:cs="Arial"/>
          <w:b/>
          <w:bCs/>
          <w:lang w:val="es-MX" w:eastAsia="es-MX"/>
        </w:rPr>
        <w:t xml:space="preserve">Fiscalizar los indicadores que inciden en el bienestar y la calidad de vida de la población para alcanzar resultados superiores. (L -  116, 117, 118, 119, 120, 126, 134, 141, 149, 163, 223, 232)) </w:t>
      </w:r>
      <w:proofErr w:type="spellStart"/>
      <w:r w:rsidRPr="00CE76EB">
        <w:rPr>
          <w:rFonts w:ascii="Arial" w:hAnsi="Arial" w:cs="Arial"/>
          <w:b/>
          <w:bCs/>
          <w:lang w:val="es-MX" w:eastAsia="es-MX"/>
        </w:rPr>
        <w:t>Obj</w:t>
      </w:r>
      <w:proofErr w:type="spellEnd"/>
      <w:r w:rsidRPr="00CE76EB">
        <w:rPr>
          <w:rFonts w:ascii="Arial" w:hAnsi="Arial" w:cs="Arial"/>
          <w:b/>
          <w:bCs/>
          <w:lang w:val="es-MX" w:eastAsia="es-MX"/>
        </w:rPr>
        <w:t>.  Conf. PCC No 16, 46 y 58 al 61.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Indicadores</w:t>
      </w:r>
    </w:p>
    <w:p w:rsidR="00CE76EB" w:rsidRPr="00CE76EB" w:rsidRDefault="00CE76EB" w:rsidP="00CE76E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Controlar el cumplimiento de los indicadores superiores en los principales programas de Salud Pública. L- 154-160.</w:t>
      </w:r>
    </w:p>
    <w:p w:rsidR="00CE76EB" w:rsidRPr="00CE76EB" w:rsidRDefault="00CE76EB" w:rsidP="00CE76E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Mortalidad Infantil: no más de 1 fallecidos X 1000 nacidos vivos.</w:t>
      </w:r>
    </w:p>
    <w:p w:rsidR="00CE76EB" w:rsidRPr="00CE76EB" w:rsidRDefault="00CE76EB" w:rsidP="00CE76E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Mortalidad preescolar: no más de 3.2 X 1000 habitantes.</w:t>
      </w:r>
    </w:p>
    <w:p w:rsidR="00CE76EB" w:rsidRPr="00CE76EB" w:rsidRDefault="00CE76EB" w:rsidP="00CE76E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Bajo peso al nacer: Por debajo de 4 X 1000 nacidos.</w:t>
      </w:r>
    </w:p>
    <w:p w:rsidR="00CE76EB" w:rsidRPr="00CE76EB" w:rsidRDefault="00CE76EB" w:rsidP="00CE76E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 xml:space="preserve">Infestación de Aedes </w:t>
      </w:r>
      <w:proofErr w:type="spellStart"/>
      <w:r w:rsidRPr="00CE76EB">
        <w:rPr>
          <w:rFonts w:ascii="Arial" w:hAnsi="Arial" w:cs="Arial"/>
          <w:lang w:val="es-MX" w:eastAsia="es-MX"/>
        </w:rPr>
        <w:t>Aegypti</w:t>
      </w:r>
      <w:proofErr w:type="spellEnd"/>
      <w:r w:rsidRPr="00CE76EB">
        <w:rPr>
          <w:rFonts w:ascii="Arial" w:hAnsi="Arial" w:cs="Arial"/>
          <w:lang w:val="es-MX" w:eastAsia="es-MX"/>
        </w:rPr>
        <w:t xml:space="preserve"> que no constituya riesgo para la salud de la población menor de 0.05</w:t>
      </w:r>
    </w:p>
    <w:p w:rsidR="00CE76EB" w:rsidRPr="00CE76EB" w:rsidRDefault="00CE76EB" w:rsidP="00CE76E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Evitar la transmisión de enfermedades diarreicas coléricas en el Municipio.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4.1: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cumple con todos los indicadores previstos.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Se incumple con alguno de estos indicadores.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4.2 Exigir el cumplimiento de los indicadores en los programas educacionales. L- 145,146, 147, 148, 149, 150, 151, 152, 153.</w:t>
      </w:r>
    </w:p>
    <w:p w:rsidR="00CE76EB" w:rsidRPr="00CE76EB" w:rsidRDefault="00CE76EB" w:rsidP="00CE76E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Continuación de estudios de los egresados de 9º al 99%.</w:t>
      </w:r>
    </w:p>
    <w:p w:rsidR="00CE76EB" w:rsidRPr="00CE76EB" w:rsidRDefault="00CE76EB" w:rsidP="00CE76E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Retención escolar total: 99.5 %.</w:t>
      </w:r>
    </w:p>
    <w:p w:rsidR="00CE76EB" w:rsidRPr="00CE76EB" w:rsidRDefault="00CE76EB" w:rsidP="00CE76E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Incrementar los resultados de las retenciones en el ciclo logrando:</w:t>
      </w:r>
    </w:p>
    <w:tbl>
      <w:tblPr>
        <w:tblW w:w="37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563"/>
      </w:tblGrid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Secundaria Básica: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99.2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Preuniversitario: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95.0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Enseñanza técnica y profesional:  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86.0</w:t>
            </w:r>
          </w:p>
        </w:tc>
      </w:tr>
      <w:tr w:rsidR="00CE76EB" w:rsidRPr="00CE76EB" w:rsidTr="00CE7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Escuelas de Oficio:</w:t>
            </w:r>
          </w:p>
        </w:tc>
        <w:tc>
          <w:tcPr>
            <w:tcW w:w="0" w:type="auto"/>
            <w:vAlign w:val="center"/>
            <w:hideMark/>
          </w:tcPr>
          <w:p w:rsidR="00CE76EB" w:rsidRPr="00CE76EB" w:rsidRDefault="00CE76EB" w:rsidP="00CE76EB">
            <w:pPr>
              <w:spacing w:before="100" w:beforeAutospacing="1" w:after="100" w:afterAutospacing="1"/>
              <w:rPr>
                <w:rFonts w:ascii="Arial" w:hAnsi="Arial" w:cs="Arial"/>
                <w:lang w:val="es-MX" w:eastAsia="es-MX"/>
              </w:rPr>
            </w:pPr>
            <w:r w:rsidRPr="00CE76EB">
              <w:rPr>
                <w:rFonts w:ascii="Arial" w:hAnsi="Arial" w:cs="Arial"/>
                <w:lang w:val="es-MX" w:eastAsia="es-MX"/>
              </w:rPr>
              <w:t>96.5</w:t>
            </w:r>
          </w:p>
        </w:tc>
      </w:tr>
    </w:tbl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lastRenderedPageBreak/>
        <w:t>Grados de Consecución del Indicador 4.2: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cumple con los indicadores de los programas educacionales y se evalúa de regular la retención.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Si no se logra uno de los indicadores, independientemente del cumplimiento que obtengan los demás.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Si más de dos indicadores no se cumplen.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4.3 Controlar el 100 %  de las actividades culturales, con ofertas para niños y niñas, adolescente y jóvenes, personas de la tercera edad y público en general, con predominio de la recreación sana. L- 163.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4.3: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cumple el 100% de las actividades culturales, con ofertas para niños y niñas, adolescente y jóvenes, personas de la tercera edad y público en general, con predominio de la recreación sana.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Si se realiza el 70% de las actividades planificadas.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Se incumple con las actividades planificadas.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4.4 Chequear el 100 % de las actividades deportivas, con la integración entre las instituciones del INDER, Educación y salud. L- 161, 162.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4.4: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cumple con las actividades deportivas, con la integración entre las instituciones del INDER, educación y Salud.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Se cumple con las actividades faltando interacción entre alguno de estos sectores.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Se incumple con las actividades.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4.5 Fiscalizar el abastecimiento de agua potable en las distintas etapas del año, y el ciclo de abasto a los lugares que no tienen redes hidráulicas de15 a 20 días. L- 300.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4.5: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B: </w:t>
      </w:r>
      <w:r w:rsidRPr="00CE76EB">
        <w:rPr>
          <w:rFonts w:ascii="Arial" w:hAnsi="Arial" w:cs="Arial"/>
          <w:lang w:val="es-MX" w:eastAsia="es-MX"/>
        </w:rPr>
        <w:t>Se cumple el ciclo de abasto a los lugares que no tienen redes hidráulicas de 20 a 30 días.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lastRenderedPageBreak/>
        <w:t xml:space="preserve">R: </w:t>
      </w:r>
      <w:r w:rsidRPr="00CE76EB">
        <w:rPr>
          <w:rFonts w:ascii="Arial" w:hAnsi="Arial" w:cs="Arial"/>
          <w:lang w:val="es-MX" w:eastAsia="es-MX"/>
        </w:rPr>
        <w:t>Se cumple con el abastecimiento de agua potable en las distintas etapas del año, pero no se cumple con el ciclo de abasto a los lugares que no tienen redes hidráulicas de 20 a 30 días.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Se incumple con el abasto de agua potable.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4.6 Exigir  el  monitoreo  de las zonas de protección de las  fuentes de abasto de agua en la cabecera Municipal, Mata-Vaquerito. Mariana Grajales y W, </w:t>
      </w:r>
      <w:proofErr w:type="spellStart"/>
      <w:r w:rsidRPr="00CE76EB">
        <w:rPr>
          <w:rFonts w:ascii="Arial" w:hAnsi="Arial" w:cs="Arial"/>
          <w:b/>
          <w:bCs/>
          <w:lang w:val="es-MX" w:eastAsia="es-MX"/>
        </w:rPr>
        <w:t>Pages</w:t>
      </w:r>
      <w:proofErr w:type="spellEnd"/>
      <w:r w:rsidRPr="00CE76EB">
        <w:rPr>
          <w:rFonts w:ascii="Arial" w:hAnsi="Arial" w:cs="Arial"/>
          <w:b/>
          <w:bCs/>
          <w:lang w:val="es-MX" w:eastAsia="es-MX"/>
        </w:rPr>
        <w:t xml:space="preserve"> e incorporar  las de los restantes Bateyes azucareros.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Si existe evidencia del monitoreo de la 6 fuentes.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Si existe evidencia del monitoreo de al menos 4 fuentes.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Si se monitorean menos de 4 fuentes.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4.7 Lograr que  se presenten a evaluación de instituciones de financiamiento con resultados satisfactorios, al menos, tres proyectos de iniciativas para el desarrollo local que tributen a la mejora de la calidad de vida de los ciudadanos del municipio, o al plan de la economía,: L-116,207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4.7: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Se cumple con la presentación de los  3 Proyectos de Iniciativa Local.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Solo se presentan 2 Proyectos de Desarrollo Local.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Se presentan 1 Proyecto de Desarrollo Local.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4.8 Exigir que las entidades cumplan con las inversiones y el plan de mantenimiento y reparación planificados para el año, incluyendo el programa de la vivienda. L- 293, 295, 296, 299.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4.8: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Se cumple al 1000% con lo planificado.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Se cumple  más del 90%.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Se cumple al 80% lo planificado.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4.9 Controlar el procedimiento de subsidios a las personas naturales, cumpliendo los requisitos y prioridades establecidas. L- 173.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4.8: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lastRenderedPageBreak/>
        <w:t>B:</w:t>
      </w:r>
      <w:r w:rsidRPr="00CE76EB">
        <w:rPr>
          <w:rFonts w:ascii="Arial" w:hAnsi="Arial" w:cs="Arial"/>
          <w:lang w:val="es-MX" w:eastAsia="es-MX"/>
        </w:rPr>
        <w:t xml:space="preserve"> Se controla el procedimiento </w:t>
      </w:r>
      <w:proofErr w:type="spellStart"/>
      <w:r w:rsidRPr="00CE76EB">
        <w:rPr>
          <w:rFonts w:ascii="Arial" w:hAnsi="Arial" w:cs="Arial"/>
          <w:lang w:val="es-MX" w:eastAsia="es-MX"/>
        </w:rPr>
        <w:t>del</w:t>
      </w:r>
      <w:proofErr w:type="spellEnd"/>
      <w:r w:rsidRPr="00CE76EB">
        <w:rPr>
          <w:rFonts w:ascii="Arial" w:hAnsi="Arial" w:cs="Arial"/>
          <w:lang w:val="es-MX" w:eastAsia="es-MX"/>
        </w:rPr>
        <w:t xml:space="preserve"> los subsidios al 100% cumpliéndose los requisitos establecidos.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Se controla el 100% pero no se cumple con los requisitos establecidos.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No se controla el procedimiento de subsidios no cumpliéndose los requisitos establecidos.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4.10 Controlar que el Fórum de Ciencia y Técnica, la ANIR y las BTJ, den solución a más del 60% de los aspectos identificados en el banco de problemas de las organizaciones y del municipio. L- 134.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4.9: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Se le da solución a más del 60% de los aspectos identificados en el banco de problemas de las organizaciones y del municipio.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Se cumple del 40 al 60% de los aspectos identificados en el banco de problemas de las organizaciones y del municipio.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Se cumple con menos del 40 % los aspectos identificados en el banco de problemas de las organizaciones y del municipio.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4.11 Exigir que todas las entidades y organizaciones de subordinación local tengan elaborados y ejecuten los programas de introducción de resultados e integral de medio ambiente. 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Todas las entidades y organizaciones de subordinación local tengan elaborados y ejecuten los programas de introducción de resultados e integral de medio ambiente.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4.10: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No todas las entidades y organizaciones de subordinación local tengan elaborados y ejecuten los programas de introducción de resultados e integral de medio ambiente.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No se elaboran y ejecutan los programas de introducción de resultados e integral de medio ambiente.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4.12 Exigir que todas las entidades tengan los planes de generalización de resultados, para que se garantice así el cumplimiento de, al menos, el 85% las acciones identificadas como priorizadas. L- 134.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4.11: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lastRenderedPageBreak/>
        <w:t>B:</w:t>
      </w:r>
      <w:r w:rsidRPr="00CE76EB">
        <w:rPr>
          <w:rFonts w:ascii="Arial" w:hAnsi="Arial" w:cs="Arial"/>
          <w:lang w:val="es-MX" w:eastAsia="es-MX"/>
        </w:rPr>
        <w:t xml:space="preserve"> Todas las entidades tienen los planes de generalización de resultados, para que se garantice así el cumplimiento de, al menos, el 85% las acciones identificadas como priorizadas.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No todas las entidades tienen los planes de generalización de resultados, para que se garantice así el cumplimiento de, al menos, el 85% las acciones identificadas como priorizadas.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No están elaborados en las entidades tienen los planes de generalización de resultados, para que se garantice así el cumplimiento de, al menos, el 85% las acciones identificadas como priorizadas.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4.13 Controlar en su totalidad el plan de transporte público, cubriéndose al 100 % las rutas planificadas. L-  269.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4.12: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Se cumple el plan de transporte público.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Se cumple con el plan de transporte público, no cumpliéndose con las rutas planificadas.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No se cumple con el plan de transporte público, ni las rutas planificadas.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4.14 Controlar la preparación de la documentación para la legalización y reparación  de los vertederos en el municipio.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Se cumple con la preparación de la documentación de los 7 vertederos.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Se cumple con la preparación de la documentación de 5 vertederos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</w:t>
      </w:r>
      <w:r w:rsidRPr="00CE76EB">
        <w:rPr>
          <w:rFonts w:ascii="Arial" w:hAnsi="Arial" w:cs="Arial"/>
          <w:lang w:val="es-MX" w:eastAsia="es-MX"/>
        </w:rPr>
        <w:t>: No se cumple con la preparación  de la documentación de ningún vertedero.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4.15   Exigir el correcto funcionamiento de los vertederos encargados de almacenar los desechos sólidos de la población.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Se cumple el funcionamiento correcto funcionamiento de  los 7 vertederos.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</w:t>
      </w:r>
      <w:r w:rsidRPr="00CE76EB">
        <w:rPr>
          <w:rFonts w:ascii="Arial" w:hAnsi="Arial" w:cs="Arial"/>
          <w:lang w:val="es-MX" w:eastAsia="es-MX"/>
        </w:rPr>
        <w:t>: Se incumple el funcionamiento correcto de  al menos 1 de los vertederos.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 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OBJETIVO DE TRABAJO NO. 4.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Bien: </w:t>
      </w:r>
      <w:r w:rsidRPr="00CE76EB">
        <w:rPr>
          <w:rFonts w:ascii="Arial" w:hAnsi="Arial" w:cs="Arial"/>
          <w:lang w:val="es-MX" w:eastAsia="es-MX"/>
        </w:rPr>
        <w:t>Si se cumple con los Indicadores 4.1, 4.2, 4.5, 4.6, 4.8, 4.12  y se evalúa de regular 2 de los restantes.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lastRenderedPageBreak/>
        <w:t xml:space="preserve">Regular: </w:t>
      </w:r>
      <w:r w:rsidRPr="00CE76EB">
        <w:rPr>
          <w:rFonts w:ascii="Arial" w:hAnsi="Arial" w:cs="Arial"/>
          <w:lang w:val="es-MX" w:eastAsia="es-MX"/>
        </w:rPr>
        <w:t>Si se cumple con los indicadores 4.1, 4.2, 4.5, 4.6, 4.8, 4.12   y se incumplen con los demás.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Mal: </w:t>
      </w:r>
      <w:r w:rsidRPr="00CE76EB">
        <w:rPr>
          <w:rFonts w:ascii="Arial" w:hAnsi="Arial" w:cs="Arial"/>
          <w:lang w:val="es-MX" w:eastAsia="es-MX"/>
        </w:rPr>
        <w:t>Si se incumple con los indicadores 4.1, 4.2, 4.5, 4.6, 4.8,  4.12. 4.13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 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OBJETIVO # 5:</w:t>
      </w:r>
      <w:r w:rsidRPr="00CE76EB">
        <w:rPr>
          <w:rFonts w:ascii="Arial" w:hAnsi="Arial" w:cs="Arial"/>
          <w:lang w:val="es-MX" w:eastAsia="es-MX"/>
        </w:rPr>
        <w:t> </w:t>
      </w:r>
      <w:r w:rsidRPr="00CE76EB">
        <w:rPr>
          <w:rFonts w:ascii="Arial" w:hAnsi="Arial" w:cs="Arial"/>
          <w:b/>
          <w:bCs/>
          <w:lang w:val="es-MX" w:eastAsia="es-MX"/>
        </w:rPr>
        <w:t>Consolidar los logros alcanzados en el territorio en la preparación para la Defensa y garantizar la preparación de cuadros y reservas en función fortalecer la  preparación integral. (L - 4, 8, 11, 12, 74, 116, 167, 168, 169, 170, 171, 172,196, 205).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5.1 Comprobando el índice de </w:t>
      </w:r>
      <w:proofErr w:type="spellStart"/>
      <w:r w:rsidRPr="00CE76EB">
        <w:rPr>
          <w:rFonts w:ascii="Arial" w:hAnsi="Arial" w:cs="Arial"/>
          <w:b/>
          <w:bCs/>
          <w:lang w:val="es-MX" w:eastAsia="es-MX"/>
        </w:rPr>
        <w:t>boscosidad</w:t>
      </w:r>
      <w:proofErr w:type="spellEnd"/>
      <w:r w:rsidRPr="00CE76EB">
        <w:rPr>
          <w:rFonts w:ascii="Arial" w:hAnsi="Arial" w:cs="Arial"/>
          <w:b/>
          <w:bCs/>
          <w:lang w:val="es-MX" w:eastAsia="es-MX"/>
        </w:rPr>
        <w:t xml:space="preserve"> del municipio cumpliendo el plan de reforestación con un logro del 80 % y una supervivencia del 80 %, continuando el chequeo semanal del cumplimiento de los planes.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5.1:</w:t>
      </w:r>
    </w:p>
    <w:p w:rsidR="00CE76EB" w:rsidRPr="00CE76EB" w:rsidRDefault="00CE76EB" w:rsidP="00CE76E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 xml:space="preserve">Se cumple al 80% el índice de </w:t>
      </w:r>
      <w:proofErr w:type="spellStart"/>
      <w:r w:rsidRPr="00CE76EB">
        <w:rPr>
          <w:rFonts w:ascii="Arial" w:hAnsi="Arial" w:cs="Arial"/>
          <w:lang w:val="es-MX" w:eastAsia="es-MX"/>
        </w:rPr>
        <w:t>boscosidad</w:t>
      </w:r>
      <w:proofErr w:type="spellEnd"/>
      <w:r w:rsidRPr="00CE76EB">
        <w:rPr>
          <w:rFonts w:ascii="Arial" w:hAnsi="Arial" w:cs="Arial"/>
          <w:lang w:val="es-MX" w:eastAsia="es-MX"/>
        </w:rPr>
        <w:t xml:space="preserve"> del municipio.</w:t>
      </w:r>
    </w:p>
    <w:p w:rsidR="00CE76EB" w:rsidRPr="00CE76EB" w:rsidRDefault="00CE76EB" w:rsidP="00CE76E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 xml:space="preserve">Se cumple al 70% el índice de </w:t>
      </w:r>
      <w:proofErr w:type="spellStart"/>
      <w:r w:rsidRPr="00CE76EB">
        <w:rPr>
          <w:rFonts w:ascii="Arial" w:hAnsi="Arial" w:cs="Arial"/>
          <w:lang w:val="es-MX" w:eastAsia="es-MX"/>
        </w:rPr>
        <w:t>boscosidad</w:t>
      </w:r>
      <w:proofErr w:type="spellEnd"/>
      <w:r w:rsidRPr="00CE76EB">
        <w:rPr>
          <w:rFonts w:ascii="Arial" w:hAnsi="Arial" w:cs="Arial"/>
          <w:lang w:val="es-MX" w:eastAsia="es-MX"/>
        </w:rPr>
        <w:t xml:space="preserve"> del municipio.</w:t>
      </w:r>
    </w:p>
    <w:p w:rsidR="00CE76EB" w:rsidRPr="00CE76EB" w:rsidRDefault="00CE76EB" w:rsidP="00CE76E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 xml:space="preserve">Se cumple menos del 70% el índice de </w:t>
      </w:r>
      <w:proofErr w:type="spellStart"/>
      <w:r w:rsidRPr="00CE76EB">
        <w:rPr>
          <w:rFonts w:ascii="Arial" w:hAnsi="Arial" w:cs="Arial"/>
          <w:lang w:val="es-MX" w:eastAsia="es-MX"/>
        </w:rPr>
        <w:t>boscosidad</w:t>
      </w:r>
      <w:proofErr w:type="spellEnd"/>
      <w:r w:rsidRPr="00CE76EB">
        <w:rPr>
          <w:rFonts w:ascii="Arial" w:hAnsi="Arial" w:cs="Arial"/>
          <w:lang w:val="es-MX" w:eastAsia="es-MX"/>
        </w:rPr>
        <w:t xml:space="preserve"> del municipio.</w:t>
      </w:r>
    </w:p>
    <w:p w:rsidR="00CE76EB" w:rsidRPr="00CE76EB" w:rsidRDefault="00CE76EB" w:rsidP="00CE76E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Continuando el acondicionamiento ingeniero del Teatro de Operaciones Militares mediante los OLPP, fiscalizando el cumplimiento del 100% del plan de excavación, revestimiento y mantenimiento de las obras destinadas para los órganos de dirección, la protección de la población y las reservas de medios materiales, cumpliendo el 100 % de los pozos tubulares, criollos y reservorios planificados.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5.2:</w:t>
      </w:r>
    </w:p>
    <w:p w:rsidR="00CE76EB" w:rsidRPr="00CE76EB" w:rsidRDefault="00CE76EB" w:rsidP="00CE76E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Se cumple al 100% el acondicionamiento ingeniero del Teatro de Operaciones Militares.</w:t>
      </w:r>
    </w:p>
    <w:p w:rsidR="00CE76EB" w:rsidRPr="00CE76EB" w:rsidRDefault="00CE76EB" w:rsidP="00CE76E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Se cumple al 90% el acondicionamiento ingeniero del Teatro de Operaciones Militares.</w:t>
      </w:r>
    </w:p>
    <w:p w:rsidR="00CE76EB" w:rsidRPr="00CE76EB" w:rsidRDefault="00CE76EB" w:rsidP="00CE76E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Se cumple por debajo del 90</w:t>
      </w:r>
      <w:r w:rsidRPr="00CE76EB">
        <w:rPr>
          <w:rFonts w:ascii="Arial" w:hAnsi="Arial" w:cs="Arial"/>
          <w:b/>
          <w:bCs/>
          <w:lang w:val="es-MX" w:eastAsia="es-MX"/>
        </w:rPr>
        <w:t xml:space="preserve">% </w:t>
      </w:r>
      <w:r w:rsidRPr="00CE76EB">
        <w:rPr>
          <w:rFonts w:ascii="Arial" w:hAnsi="Arial" w:cs="Arial"/>
          <w:lang w:val="es-MX" w:eastAsia="es-MX"/>
        </w:rPr>
        <w:t>el acondicionamiento ingeniero del Teatro de Operaciones Militares.</w:t>
      </w:r>
    </w:p>
    <w:p w:rsidR="00CE76EB" w:rsidRPr="00CE76EB" w:rsidRDefault="00CE76EB" w:rsidP="00CE76E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Aprovechando al máximo el proceso de compatibilización en la inversión que ejecutan los organismos, entidades económicas e instituciones sociales, logrando un 100 % del cumplimiento de los requerimientos impuestos para la defensa.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5.3:</w:t>
      </w:r>
    </w:p>
    <w:p w:rsidR="00CE76EB" w:rsidRPr="00CE76EB" w:rsidRDefault="00CE76EB" w:rsidP="00CE76EB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lastRenderedPageBreak/>
        <w:t>Se cumple al 100% el proceso de compatibilización en la inversión.</w:t>
      </w:r>
    </w:p>
    <w:p w:rsidR="00CE76EB" w:rsidRPr="00CE76EB" w:rsidRDefault="00CE76EB" w:rsidP="00CE76EB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Se cumple al 90% el proceso de compatibilización en la inversión.</w:t>
      </w:r>
    </w:p>
    <w:p w:rsidR="00CE76EB" w:rsidRPr="00CE76EB" w:rsidRDefault="00CE76EB" w:rsidP="00CE76EB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Se cumple menos del 90% el proceso de compatibilización en la inversión.</w:t>
      </w:r>
    </w:p>
    <w:p w:rsidR="00CE76EB" w:rsidRPr="00CE76EB" w:rsidRDefault="00CE76EB" w:rsidP="00CE76E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Incrementando los niveles de preparación alcanzado para enfrentar eventos de desastres en situaciones extremas, preparando y cohesionando el 100 % de las estructuras de </w:t>
      </w:r>
      <w:proofErr w:type="gramStart"/>
      <w:r w:rsidRPr="00CE76EB">
        <w:rPr>
          <w:rFonts w:ascii="Arial" w:hAnsi="Arial" w:cs="Arial"/>
          <w:b/>
          <w:bCs/>
          <w:lang w:val="es-MX" w:eastAsia="es-MX"/>
        </w:rPr>
        <w:t>dirección ,</w:t>
      </w:r>
      <w:proofErr w:type="gramEnd"/>
      <w:r w:rsidRPr="00CE76EB">
        <w:rPr>
          <w:rFonts w:ascii="Arial" w:hAnsi="Arial" w:cs="Arial"/>
          <w:b/>
          <w:bCs/>
          <w:lang w:val="es-MX" w:eastAsia="es-MX"/>
        </w:rPr>
        <w:t xml:space="preserve"> municipal y de Zonas de defensa para dirigir acciones de respuesta y recuperación así como preparando el 100 % de la fuerzas que participan en las acciones de rescate y salvamento de personas.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5.4:</w:t>
      </w:r>
    </w:p>
    <w:p w:rsidR="00CE76EB" w:rsidRPr="00CE76EB" w:rsidRDefault="00CE76EB" w:rsidP="00CE76EB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Se cumple al 100% los niveles de preparación alcanzado para enfrentar eventos de desastres.</w:t>
      </w:r>
    </w:p>
    <w:p w:rsidR="00CE76EB" w:rsidRPr="00CE76EB" w:rsidRDefault="00CE76EB" w:rsidP="00CE76EB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Se cumple al 90% los niveles de preparación alcanzado para enfrentar eventos de desastres.</w:t>
      </w:r>
    </w:p>
    <w:p w:rsidR="00CE76EB" w:rsidRPr="00CE76EB" w:rsidRDefault="00CE76EB" w:rsidP="00CE76EB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Se cumple menos del 90% el proceso de compatibilización en la inversión.</w:t>
      </w:r>
    </w:p>
    <w:p w:rsidR="00CE76EB" w:rsidRPr="00CE76EB" w:rsidRDefault="00CE76EB" w:rsidP="00CE7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Fortaleciendo el proceso de reducción de desastres en el territorio mediante la actualización del 100 % de los planes,  perfeccionando  los sistemas de vigilancia y alerta temprana.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5.5:</w:t>
      </w:r>
    </w:p>
    <w:p w:rsidR="00CE76EB" w:rsidRPr="00CE76EB" w:rsidRDefault="00CE76EB" w:rsidP="00CE7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Se cumple al 100% el proceso de reducción de desastres.</w:t>
      </w:r>
    </w:p>
    <w:p w:rsidR="00CE76EB" w:rsidRPr="00CE76EB" w:rsidRDefault="00CE76EB" w:rsidP="00CE7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Se cumple al 90% el proceso de reducción de desastres.</w:t>
      </w:r>
    </w:p>
    <w:p w:rsidR="00CE76EB" w:rsidRPr="00CE76EB" w:rsidRDefault="00CE76EB" w:rsidP="00CE7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>Se cumple menos del 90% el proceso de reducción de desastres.</w:t>
      </w:r>
    </w:p>
    <w:p w:rsidR="00CE76EB" w:rsidRPr="00CE76EB" w:rsidRDefault="00CE76EB" w:rsidP="00CE76EB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Culminar este año el reordenamiento de las Reservas </w:t>
      </w:r>
      <w:proofErr w:type="spellStart"/>
      <w:r w:rsidRPr="00CE76EB">
        <w:rPr>
          <w:rFonts w:ascii="Arial" w:hAnsi="Arial" w:cs="Arial"/>
          <w:b/>
          <w:bCs/>
          <w:lang w:val="es-MX" w:eastAsia="es-MX"/>
        </w:rPr>
        <w:t>Movilizativas</w:t>
      </w:r>
      <w:proofErr w:type="spellEnd"/>
      <w:r w:rsidRPr="00CE76EB">
        <w:rPr>
          <w:rFonts w:ascii="Arial" w:hAnsi="Arial" w:cs="Arial"/>
          <w:b/>
          <w:bCs/>
          <w:lang w:val="es-MX" w:eastAsia="es-MX"/>
        </w:rPr>
        <w:t xml:space="preserve"> del 100 % de las empresas y entidades que son depositarios responsabilizados.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 5.6:</w:t>
      </w:r>
    </w:p>
    <w:p w:rsidR="00CE76EB" w:rsidRPr="00CE76EB" w:rsidRDefault="00CE76EB" w:rsidP="00CE76EB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 xml:space="preserve">Se cumple al 100% el reordenamiento de las Reservas </w:t>
      </w:r>
      <w:proofErr w:type="spellStart"/>
      <w:r w:rsidRPr="00CE76EB">
        <w:rPr>
          <w:rFonts w:ascii="Arial" w:hAnsi="Arial" w:cs="Arial"/>
          <w:lang w:val="es-MX" w:eastAsia="es-MX"/>
        </w:rPr>
        <w:t>Moviliz</w:t>
      </w:r>
      <w:bookmarkStart w:id="0" w:name="_GoBack"/>
      <w:bookmarkEnd w:id="0"/>
      <w:r w:rsidRPr="00CE76EB">
        <w:rPr>
          <w:rFonts w:ascii="Arial" w:hAnsi="Arial" w:cs="Arial"/>
          <w:lang w:val="es-MX" w:eastAsia="es-MX"/>
        </w:rPr>
        <w:t>ativas</w:t>
      </w:r>
      <w:proofErr w:type="spellEnd"/>
      <w:r w:rsidRPr="00CE76EB">
        <w:rPr>
          <w:rFonts w:ascii="Arial" w:hAnsi="Arial" w:cs="Arial"/>
          <w:lang w:val="es-MX" w:eastAsia="es-MX"/>
        </w:rPr>
        <w:t>.</w:t>
      </w:r>
    </w:p>
    <w:p w:rsidR="00CE76EB" w:rsidRPr="00CE76EB" w:rsidRDefault="00CE76EB" w:rsidP="00CE76EB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 xml:space="preserve">Se cumple al 90% el reordenamiento de las Reservas </w:t>
      </w:r>
      <w:proofErr w:type="spellStart"/>
      <w:r w:rsidRPr="00CE76EB">
        <w:rPr>
          <w:rFonts w:ascii="Arial" w:hAnsi="Arial" w:cs="Arial"/>
          <w:lang w:val="es-MX" w:eastAsia="es-MX"/>
        </w:rPr>
        <w:t>Movilizativas</w:t>
      </w:r>
      <w:proofErr w:type="spellEnd"/>
      <w:r w:rsidRPr="00CE76EB">
        <w:rPr>
          <w:rFonts w:ascii="Arial" w:hAnsi="Arial" w:cs="Arial"/>
          <w:lang w:val="es-MX" w:eastAsia="es-MX"/>
        </w:rPr>
        <w:t>.</w:t>
      </w:r>
    </w:p>
    <w:p w:rsidR="00CE76EB" w:rsidRPr="00CE76EB" w:rsidRDefault="00CE76EB" w:rsidP="00CE76EB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lang w:val="es-MX" w:eastAsia="es-MX"/>
        </w:rPr>
        <w:t xml:space="preserve">Se cumple menos del 90% el reordenamiento de las Reservas </w:t>
      </w:r>
      <w:proofErr w:type="spellStart"/>
      <w:r w:rsidRPr="00CE76EB">
        <w:rPr>
          <w:rFonts w:ascii="Arial" w:hAnsi="Arial" w:cs="Arial"/>
          <w:lang w:val="es-MX" w:eastAsia="es-MX"/>
        </w:rPr>
        <w:t>Movilizativas</w:t>
      </w:r>
      <w:proofErr w:type="spellEnd"/>
      <w:r w:rsidRPr="00CE76EB">
        <w:rPr>
          <w:rFonts w:ascii="Arial" w:hAnsi="Arial" w:cs="Arial"/>
          <w:lang w:val="es-MX" w:eastAsia="es-MX"/>
        </w:rPr>
        <w:t>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5.7 Exigir que todos los cuadros subordinados al CAM cuenten con 2 o más  reservas listas para ser promovidas y que el 90% de las promociones procedan de estas.  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Grados de Consecución del Indicador: 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lastRenderedPageBreak/>
        <w:t xml:space="preserve">B: </w:t>
      </w:r>
      <w:r w:rsidRPr="00CE76EB">
        <w:rPr>
          <w:rFonts w:ascii="Arial" w:hAnsi="Arial" w:cs="Arial"/>
          <w:lang w:val="es-MX" w:eastAsia="es-MX"/>
        </w:rPr>
        <w:t>Se cuenta en todos los cargos con  las 2 reservas listas o más para ser promovidas y el 90 % de las promociones proceden de estas.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Se cuenta con un 40 % de cuadros que cuentan una sola reserva.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No se cumple con el completamiento de las reservas en los diferentes cargos.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5.8 Supervisar que los cuadros y reservas participen en modalidades de postgrado o cursos académicos de preparación, con énfasis en temas económicos, contables, medio ambiente, desarrollo local y de administración, tanto a nivel Provincial como Municipal.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Indicador: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Se lograr que los cuadros y reservas participen en modalidades de postgrado o cursos académicos de preparación, con énfasis en temas económicos, contables, medio ambiente, desarrollo local y de administración.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R: </w:t>
      </w:r>
      <w:r w:rsidRPr="00CE76EB">
        <w:rPr>
          <w:rFonts w:ascii="Arial" w:hAnsi="Arial" w:cs="Arial"/>
          <w:lang w:val="es-MX" w:eastAsia="es-MX"/>
        </w:rPr>
        <w:t>En el desarrollo de estos postgrados y cursos existen ausencias.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M: </w:t>
      </w:r>
      <w:r w:rsidRPr="00CE76EB">
        <w:rPr>
          <w:rFonts w:ascii="Arial" w:hAnsi="Arial" w:cs="Arial"/>
          <w:lang w:val="es-MX" w:eastAsia="es-MX"/>
        </w:rPr>
        <w:t>No se logra participación  de los cuadros según lo planificado.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5.9 Exigir que el Sistema Informativo Automatizado de los Cuadros del Estado y el Gobierno SIACEG se encuentre actualizado al 100 %.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 xml:space="preserve">Grados de Consecución del Indicador: 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B:</w:t>
      </w:r>
      <w:r w:rsidRPr="00CE76EB">
        <w:rPr>
          <w:rFonts w:ascii="Arial" w:hAnsi="Arial" w:cs="Arial"/>
          <w:lang w:val="es-MX" w:eastAsia="es-MX"/>
        </w:rPr>
        <w:t xml:space="preserve"> Se logra que el 100 % de los cuadros y reservas estén incluidos en el SIACEG.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R:</w:t>
      </w:r>
      <w:r w:rsidRPr="00CE76EB">
        <w:rPr>
          <w:rFonts w:ascii="Arial" w:hAnsi="Arial" w:cs="Arial"/>
          <w:lang w:val="es-MX" w:eastAsia="es-MX"/>
        </w:rPr>
        <w:t xml:space="preserve"> Se logra que el 70% los cuadros y reservas estén incluidos en el SIACEG.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M:</w:t>
      </w:r>
      <w:r w:rsidRPr="00CE76EB">
        <w:rPr>
          <w:rFonts w:ascii="Arial" w:hAnsi="Arial" w:cs="Arial"/>
          <w:lang w:val="es-MX" w:eastAsia="es-MX"/>
        </w:rPr>
        <w:t xml:space="preserve"> Solo se logra la incorporación del 30% de los cuadros y reservas en el SIACEG.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GRADOS DE CONSECUCIÓN DEL OBJETIVO DE TRABAJO No. 5.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Bien:</w:t>
      </w:r>
      <w:r w:rsidRPr="00CE76EB">
        <w:rPr>
          <w:rFonts w:ascii="Arial" w:hAnsi="Arial" w:cs="Arial"/>
          <w:lang w:val="es-MX" w:eastAsia="es-MX"/>
        </w:rPr>
        <w:t xml:space="preserve"> Se cumplen con los Indicadores 5.1, 5.3, 5.4, 5.7, 5.8 y se evalúan de regular 2 de los restantes.</w:t>
      </w:r>
    </w:p>
    <w:p w:rsidR="00CE76EB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Regular:</w:t>
      </w:r>
      <w:r w:rsidRPr="00CE76EB">
        <w:rPr>
          <w:rFonts w:ascii="Arial" w:hAnsi="Arial" w:cs="Arial"/>
          <w:lang w:val="es-MX" w:eastAsia="es-MX"/>
        </w:rPr>
        <w:t xml:space="preserve"> Se cumple con los Indicadores 5.1, 5.3, 5.4, 5.7, 5.8 y se incumplen con 2 de los restantes.</w:t>
      </w:r>
    </w:p>
    <w:p w:rsidR="00C35F45" w:rsidRPr="00CE76EB" w:rsidRDefault="00CE76EB" w:rsidP="00CE76EB">
      <w:pPr>
        <w:spacing w:before="100" w:beforeAutospacing="1" w:after="100" w:afterAutospacing="1"/>
        <w:jc w:val="both"/>
        <w:rPr>
          <w:rFonts w:ascii="Arial" w:hAnsi="Arial" w:cs="Arial"/>
          <w:lang w:val="es-MX" w:eastAsia="es-MX"/>
        </w:rPr>
      </w:pPr>
      <w:r w:rsidRPr="00CE76EB">
        <w:rPr>
          <w:rFonts w:ascii="Arial" w:hAnsi="Arial" w:cs="Arial"/>
          <w:b/>
          <w:bCs/>
          <w:lang w:val="es-MX" w:eastAsia="es-MX"/>
        </w:rPr>
        <w:t>Mal:</w:t>
      </w:r>
      <w:r w:rsidRPr="00CE76EB">
        <w:rPr>
          <w:rFonts w:ascii="Arial" w:hAnsi="Arial" w:cs="Arial"/>
          <w:lang w:val="es-MX" w:eastAsia="es-MX"/>
        </w:rPr>
        <w:t xml:space="preserve"> Se incumplen con los Indicadores 5.1, 5.3, 5.4, 5.7, 5.8.</w:t>
      </w:r>
    </w:p>
    <w:sectPr w:rsidR="00C35F45" w:rsidRPr="00CE7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E57"/>
    <w:multiLevelType w:val="multilevel"/>
    <w:tmpl w:val="4FF6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334F9"/>
    <w:multiLevelType w:val="multilevel"/>
    <w:tmpl w:val="DE5A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63A50"/>
    <w:multiLevelType w:val="multilevel"/>
    <w:tmpl w:val="AE44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B4438"/>
    <w:multiLevelType w:val="multilevel"/>
    <w:tmpl w:val="987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83C1C"/>
    <w:multiLevelType w:val="multilevel"/>
    <w:tmpl w:val="A0E6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82BFA"/>
    <w:multiLevelType w:val="multilevel"/>
    <w:tmpl w:val="8DB4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62CA"/>
    <w:multiLevelType w:val="multilevel"/>
    <w:tmpl w:val="7ACC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85079"/>
    <w:multiLevelType w:val="multilevel"/>
    <w:tmpl w:val="11F2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B393C"/>
    <w:multiLevelType w:val="multilevel"/>
    <w:tmpl w:val="C8B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F4A23"/>
    <w:multiLevelType w:val="multilevel"/>
    <w:tmpl w:val="C99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64D91"/>
    <w:multiLevelType w:val="multilevel"/>
    <w:tmpl w:val="D626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302DA"/>
    <w:multiLevelType w:val="multilevel"/>
    <w:tmpl w:val="3250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A5C3B"/>
    <w:multiLevelType w:val="multilevel"/>
    <w:tmpl w:val="F6B6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F4254"/>
    <w:multiLevelType w:val="multilevel"/>
    <w:tmpl w:val="BE98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73B1F"/>
    <w:multiLevelType w:val="multilevel"/>
    <w:tmpl w:val="B3B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635D1"/>
    <w:multiLevelType w:val="multilevel"/>
    <w:tmpl w:val="B89C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891FEA"/>
    <w:multiLevelType w:val="multilevel"/>
    <w:tmpl w:val="F9A8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61A55"/>
    <w:multiLevelType w:val="multilevel"/>
    <w:tmpl w:val="C35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3634E"/>
    <w:multiLevelType w:val="multilevel"/>
    <w:tmpl w:val="0078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E64B9"/>
    <w:multiLevelType w:val="multilevel"/>
    <w:tmpl w:val="B8FC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947E16"/>
    <w:multiLevelType w:val="multilevel"/>
    <w:tmpl w:val="DE4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C1493"/>
    <w:multiLevelType w:val="multilevel"/>
    <w:tmpl w:val="EF30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36F3A"/>
    <w:multiLevelType w:val="multilevel"/>
    <w:tmpl w:val="A50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3A4489"/>
    <w:multiLevelType w:val="multilevel"/>
    <w:tmpl w:val="0EF4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55981"/>
    <w:multiLevelType w:val="multilevel"/>
    <w:tmpl w:val="FF8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2"/>
  </w:num>
  <w:num w:numId="5">
    <w:abstractNumId w:val="14"/>
  </w:num>
  <w:num w:numId="6">
    <w:abstractNumId w:val="11"/>
  </w:num>
  <w:num w:numId="7">
    <w:abstractNumId w:val="23"/>
  </w:num>
  <w:num w:numId="8">
    <w:abstractNumId w:val="13"/>
  </w:num>
  <w:num w:numId="9">
    <w:abstractNumId w:val="18"/>
  </w:num>
  <w:num w:numId="10">
    <w:abstractNumId w:val="22"/>
  </w:num>
  <w:num w:numId="11">
    <w:abstractNumId w:val="3"/>
  </w:num>
  <w:num w:numId="12">
    <w:abstractNumId w:val="15"/>
  </w:num>
  <w:num w:numId="13">
    <w:abstractNumId w:val="19"/>
  </w:num>
  <w:num w:numId="14">
    <w:abstractNumId w:val="17"/>
  </w:num>
  <w:num w:numId="15">
    <w:abstractNumId w:val="12"/>
  </w:num>
  <w:num w:numId="16">
    <w:abstractNumId w:val="0"/>
  </w:num>
  <w:num w:numId="17">
    <w:abstractNumId w:val="24"/>
  </w:num>
  <w:num w:numId="18">
    <w:abstractNumId w:val="5"/>
  </w:num>
  <w:num w:numId="19">
    <w:abstractNumId w:val="4"/>
  </w:num>
  <w:num w:numId="20">
    <w:abstractNumId w:val="10"/>
  </w:num>
  <w:num w:numId="21">
    <w:abstractNumId w:val="1"/>
  </w:num>
  <w:num w:numId="22">
    <w:abstractNumId w:val="8"/>
  </w:num>
  <w:num w:numId="23">
    <w:abstractNumId w:val="20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EB"/>
    <w:rsid w:val="00007E4D"/>
    <w:rsid w:val="00A97835"/>
    <w:rsid w:val="00C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6EB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E76EB"/>
    <w:rPr>
      <w:b/>
      <w:bCs/>
    </w:rPr>
  </w:style>
  <w:style w:type="character" w:styleId="nfasis">
    <w:name w:val="Emphasis"/>
    <w:basedOn w:val="Fuentedeprrafopredeter"/>
    <w:uiPriority w:val="20"/>
    <w:qFormat/>
    <w:rsid w:val="00CE76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6EB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E76EB"/>
    <w:rPr>
      <w:b/>
      <w:bCs/>
    </w:rPr>
  </w:style>
  <w:style w:type="character" w:styleId="nfasis">
    <w:name w:val="Emphasis"/>
    <w:basedOn w:val="Fuentedeprrafopredeter"/>
    <w:uiPriority w:val="20"/>
    <w:qFormat/>
    <w:rsid w:val="00CE76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3701</Words>
  <Characters>20358</Characters>
  <Application>Microsoft Office Word</Application>
  <DocSecurity>0</DocSecurity>
  <Lines>169</Lines>
  <Paragraphs>48</Paragraphs>
  <ScaleCrop>false</ScaleCrop>
  <Company/>
  <LinksUpToDate>false</LinksUpToDate>
  <CharactersWithSpaces>24011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Yisell Gomez Montiel</dc:creator>
  <cp:lastModifiedBy>Yisell Gomez Montiel</cp:lastModifiedBy>
  <cp:revision>1</cp:revision>
  <dcterms:created xsi:type="dcterms:W3CDTF">2019-11-28T19:21:00Z</dcterms:created>
  <dcterms:modified xsi:type="dcterms:W3CDTF">2019-11-28T19:26:00Z</dcterms:modified>
</cp:coreProperties>
</file>